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B87" w:rsidRDefault="000B0B87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bookmarkStart w:id="0" w:name="_GoBack"/>
      <w:r w:rsidRPr="00CB4769">
        <w:rPr>
          <w:noProof/>
        </w:rPr>
        <w:drawing>
          <wp:inline distT="0" distB="0" distL="0" distR="0" wp14:anchorId="4DD418C2" wp14:editId="5CC69661">
            <wp:extent cx="5750084" cy="8162925"/>
            <wp:effectExtent l="0" t="0" r="3175" b="0"/>
            <wp:docPr id="1" name="Рисунок 1" descr="C:\Users\1\Downloads\2026-06-03_15-37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6-06-03_15-37-27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312" cy="8183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0B87" w:rsidRDefault="000B0B87" w:rsidP="000B0B87">
      <w:pPr>
        <w:rPr>
          <w:rFonts w:eastAsiaTheme="majorEastAsia"/>
        </w:rPr>
      </w:pPr>
      <w:r>
        <w:br w:type="page"/>
      </w:r>
    </w:p>
    <w:p w:rsidR="000B0B87" w:rsidRDefault="000B0B87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val="ru-RU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t>Пояснительная записка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Лагерь труда и отдыха (ЛТО) «Летний калейдоскоп»</w:t>
      </w:r>
      <w:r w:rsidRPr="00EF1AA4">
        <w:rPr>
          <w:color w:val="0F1115"/>
          <w:sz w:val="28"/>
          <w:szCs w:val="28"/>
        </w:rPr>
        <w:t> – это форма организации летнего досуга подростков, сочетающая трудовую деятельность, оздоровление и творческое развитие. Программа направлена на формирование у участников трудовых навыков, ответственности, командного духа, а также на укрепление здоровья через активный отдых и культурно-массовые мероприятия.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В современных условиях, когда подростки значительную часть времени проводят в виртуальном пространстве, испытывая дефицит живого общения и практических навыков, организация лагеря труда и отдыха приобретает особую значимость. Социальные сети и цифровые технологии, при всех их преимуществах, нередко формируют у молодого поколения искаженное представление о реальном мире, подменяя активную деятельность пассивным потреблением контента. Это приводит к снижению мотивации к труду, размыванию ценностей взаимопомощи и ответственности, а также к ухудшению физического здоровья из-за малоподвижного образа жизни. Кроме того, в условиях быстро меняющегося рынка труда подростки зачастую не имеют возможности получить базовые профессиональные навыки и понять важность командной работы, что в будущем может затруднить их социальную адаптацию.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 xml:space="preserve">Программа лагеря труда и отдыха «Летний калейдоскоп» призвана решить эти проблемы через гармоничное сочетание трудовой деятельности, физического развития и творческого самовыражения. Название «Летний калейдоскоп» символизирует постоянную смену видов деятельности, ярких впечатлений и неожиданных сочетаний – как узоры в калейдоскопе. Трудовая составляющая не только приучает подростков к дисциплине и ответственности, но и позволяет им увидеть реальные результаты своих усилий – будь то благоустройство территории, помощь социальным </w:t>
      </w:r>
      <w:r w:rsidRPr="00EF1AA4">
        <w:rPr>
          <w:color w:val="0F1115"/>
          <w:sz w:val="28"/>
          <w:szCs w:val="28"/>
        </w:rPr>
        <w:lastRenderedPageBreak/>
        <w:t>учреждениям или участие в экологических проектах. Это формирует уважение к труду, учит ценить коллективный вклад и развивает практические умения.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Оздоровительный аспект программы особенно важен в свете данных о возрастающей гиподинамии среди подростков. Регулярные спортивные мероприятия, игры на свежем воздухе и туристические походы способствуют физическому развитию, укрепляют иммунитет и снижают уровень стресса, накопленного за учебный год. В условиях, когда многие дети проводят каникулы дома, уткнувшись в гаджеты, лагерь становится пространством для здорового образа жизни и живого общения.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Творческо-досуговый блок программы помогает раскрыть потенциал каждого участника через мастер-классы, конкурсы, театральные постановки и фестиваль идей «Калейдоскоп талантов». Это развивает креативность, учит работать в команде, находить компромиссы и проявлять инициативу.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 xml:space="preserve">Социальная значимость программы также заключается в ее </w:t>
      </w:r>
      <w:proofErr w:type="spellStart"/>
      <w:r w:rsidRPr="00EF1AA4">
        <w:rPr>
          <w:color w:val="0F1115"/>
          <w:sz w:val="28"/>
          <w:szCs w:val="28"/>
        </w:rPr>
        <w:t>инклюзивности</w:t>
      </w:r>
      <w:proofErr w:type="spellEnd"/>
      <w:r w:rsidRPr="00EF1AA4">
        <w:rPr>
          <w:color w:val="0F1115"/>
          <w:sz w:val="28"/>
          <w:szCs w:val="28"/>
        </w:rPr>
        <w:t xml:space="preserve"> – она дает возможность участия подросткам из разных социальных групп. Лагерь становится пространством равных возможностей, где каждый может проявить себя и ощутить свою значимость.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Программа «Летний калейдоскоп» отвечает на ключевые вызовы современного общества и создает условия для формирования гармонично развитой, социально ответственной и мотивированной личности.</w:t>
      </w:r>
    </w:p>
    <w:p w:rsidR="00EF1AA4" w:rsidRDefault="00EF1AA4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lastRenderedPageBreak/>
        <w:t>Содержание программы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Цель:</w:t>
      </w:r>
      <w:r w:rsidRPr="00EF1AA4">
        <w:rPr>
          <w:color w:val="0F1115"/>
          <w:sz w:val="28"/>
          <w:szCs w:val="28"/>
        </w:rPr>
        <w:t> создание условий для трудовой социализации, оздоровления и творческого развития подростков через сочетание полезной деятельности и активного отдыха в формате постоянно сменяющихся активностей («калейдоскоп»).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Задачи:</w:t>
      </w:r>
    </w:p>
    <w:p w:rsidR="00EF1AA4" w:rsidRPr="00EF1AA4" w:rsidRDefault="00EF1AA4" w:rsidP="00EF1AA4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Организовать трудовую деятельность, полезную для общества и развивающую практические навыки.</w:t>
      </w:r>
    </w:p>
    <w:p w:rsidR="00EF1AA4" w:rsidRPr="00EF1AA4" w:rsidRDefault="00EF1AA4" w:rsidP="00EF1AA4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Способствовать укреплению физического и психического здоровья через спортивные и оздоровительные мероприятия.</w:t>
      </w:r>
    </w:p>
    <w:p w:rsidR="00EF1AA4" w:rsidRPr="00EF1AA4" w:rsidRDefault="00EF1AA4" w:rsidP="00EF1AA4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Развивать творческие способности и коммуникативные навыки через культурно-досуговые активности.</w:t>
      </w:r>
    </w:p>
    <w:p w:rsidR="00EF1AA4" w:rsidRPr="00EF1AA4" w:rsidRDefault="00EF1AA4" w:rsidP="00EF1AA4">
      <w:pPr>
        <w:pStyle w:val="ds-markdown-paragraph"/>
        <w:numPr>
          <w:ilvl w:val="0"/>
          <w:numId w:val="2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Воспитывать ответственность, трудолюбие и уважение к коллективу.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Целевая группа:</w:t>
      </w:r>
      <w:r w:rsidRPr="00EF1AA4">
        <w:rPr>
          <w:color w:val="0F1115"/>
          <w:sz w:val="28"/>
          <w:szCs w:val="28"/>
        </w:rPr>
        <w:t> дети 14–15 лет, включая ребят из многодетных, малообеспеченных семей, детей-сирот и участников СВО.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Территориальные рамки:</w:t>
      </w:r>
      <w:r w:rsidRPr="00EF1AA4">
        <w:rPr>
          <w:color w:val="0F1115"/>
          <w:sz w:val="28"/>
          <w:szCs w:val="28"/>
        </w:rPr>
        <w:br/>
        <w:t>Программа реализуется на базе пришкольного лагеря дневного пребывания МБОУ «Высокогорская СОШ №2». Основные мероприятия проходят:</w:t>
      </w:r>
    </w:p>
    <w:p w:rsidR="00EF1AA4" w:rsidRPr="00EF1AA4" w:rsidRDefault="00EF1AA4" w:rsidP="00EF1AA4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в помещениях школы (классы, актовый зал, спортивный зал);</w:t>
      </w:r>
    </w:p>
    <w:p w:rsidR="00EF1AA4" w:rsidRPr="00EF1AA4" w:rsidRDefault="00EF1AA4" w:rsidP="00EF1AA4">
      <w:pPr>
        <w:pStyle w:val="ds-markdown-paragraph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на пришкольной территории (спортивная площадка, зона отдыха, пришкольный огород, теплица).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Хронологические рамки:</w:t>
      </w:r>
    </w:p>
    <w:p w:rsidR="00EF1AA4" w:rsidRPr="00EF1AA4" w:rsidRDefault="00EF1AA4" w:rsidP="00EF1AA4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Срок реализации программы: </w:t>
      </w:r>
      <w:r w:rsidRPr="00EF1AA4">
        <w:rPr>
          <w:rStyle w:val="a3"/>
          <w:color w:val="0F1115"/>
          <w:sz w:val="28"/>
          <w:szCs w:val="28"/>
        </w:rPr>
        <w:t>22 дня</w:t>
      </w:r>
      <w:r w:rsidRPr="00EF1AA4">
        <w:rPr>
          <w:color w:val="0F1115"/>
          <w:sz w:val="28"/>
          <w:szCs w:val="28"/>
        </w:rPr>
        <w:t>.</w:t>
      </w:r>
    </w:p>
    <w:p w:rsidR="00EF1AA4" w:rsidRPr="00EF1AA4" w:rsidRDefault="00EF1AA4" w:rsidP="00EF1AA4">
      <w:pPr>
        <w:pStyle w:val="ds-markdown-paragraph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Даты проведения: </w:t>
      </w:r>
      <w:r w:rsidRPr="00EF1AA4">
        <w:rPr>
          <w:rStyle w:val="a3"/>
          <w:color w:val="0F1115"/>
          <w:sz w:val="28"/>
          <w:szCs w:val="28"/>
        </w:rPr>
        <w:t>01.06.2026 – 22.06.2026</w:t>
      </w:r>
      <w:r w:rsidRPr="00EF1AA4">
        <w:rPr>
          <w:color w:val="0F1115"/>
          <w:sz w:val="28"/>
          <w:szCs w:val="28"/>
        </w:rPr>
        <w:t>.</w:t>
      </w:r>
    </w:p>
    <w:p w:rsidR="00EF1AA4" w:rsidRPr="00EF1AA4" w:rsidRDefault="00EF1AA4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AA4" w:rsidRDefault="00EF1AA4">
      <w:pPr>
        <w:spacing w:after="160" w:line="259" w:lineRule="auto"/>
        <w:rPr>
          <w:rFonts w:ascii="Times New Roman" w:eastAsiaTheme="majorEastAsia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lastRenderedPageBreak/>
        <w:t>Концептуальный подход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Концептуальный подход программы «Летний калейдоскоп» строится на синтезе современных педагогических методик и актуальных потребностей подросткового возраста, предлагая комплексную модель развития через единство труда, отдыха и творчества. В основе программы лежит гуманистический принцип, рассматривающий подростка не как пассивного исполнителя, а как активного участника преобразовательной деятельности.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Ключевая метафора – калейдоскоп:</w:t>
      </w:r>
      <w:r w:rsidRPr="00EF1AA4">
        <w:rPr>
          <w:color w:val="0F1115"/>
          <w:sz w:val="28"/>
          <w:szCs w:val="28"/>
        </w:rPr>
        <w:t> каждый день смены – новый узор, новое сочетание труда, спорта и творчества. Подросток не застревает в однообразии, а проживает 22 ярких, непохожих друг на друга дня. Это позволяет избежать усталости от монотонной работы и поддерживает высокую мотивацию.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 xml:space="preserve">Трудовая деятельность организована как серия </w:t>
      </w:r>
      <w:proofErr w:type="spellStart"/>
      <w:r w:rsidRPr="00EF1AA4">
        <w:rPr>
          <w:color w:val="0F1115"/>
          <w:sz w:val="28"/>
          <w:szCs w:val="28"/>
        </w:rPr>
        <w:t>микропроектов</w:t>
      </w:r>
      <w:proofErr w:type="spellEnd"/>
      <w:r w:rsidRPr="00EF1AA4">
        <w:rPr>
          <w:color w:val="0F1115"/>
          <w:sz w:val="28"/>
          <w:szCs w:val="28"/>
        </w:rPr>
        <w:t>: «Зелёный десант» (благоустройство территории), «</w:t>
      </w:r>
      <w:proofErr w:type="spellStart"/>
      <w:r w:rsidRPr="00EF1AA4">
        <w:rPr>
          <w:color w:val="0F1115"/>
          <w:sz w:val="28"/>
          <w:szCs w:val="28"/>
        </w:rPr>
        <w:t>Книжкина</w:t>
      </w:r>
      <w:proofErr w:type="spellEnd"/>
      <w:r w:rsidRPr="00EF1AA4">
        <w:rPr>
          <w:color w:val="0F1115"/>
          <w:sz w:val="28"/>
          <w:szCs w:val="28"/>
        </w:rPr>
        <w:t xml:space="preserve"> больница» (ремонт библиотечного фонда), «Мастерская добрых дел» (помощь ветеранам и социальным учреждениям). Каждый проект завершается рефлексией и визуальным результатом.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Оздоровительный компонент включает ежедневные «Спортивные повороты калейдоскопа» – чередование подвижных игр, эстафет, туристических навыков и оздоровительных практик (дыхательная гимнастика, скандинавская ходьба). Творческий блок представлен «Творческими гранями» – мастерскими по направлениям (театр, вокал, ДПИ, медиа), которые работают по выбору участников.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 xml:space="preserve">Методологической основой стали принципы </w:t>
      </w:r>
      <w:proofErr w:type="spellStart"/>
      <w:r w:rsidRPr="00EF1AA4">
        <w:rPr>
          <w:color w:val="0F1115"/>
          <w:sz w:val="28"/>
          <w:szCs w:val="28"/>
        </w:rPr>
        <w:t>деятельностного</w:t>
      </w:r>
      <w:proofErr w:type="spellEnd"/>
      <w:r w:rsidRPr="00EF1AA4">
        <w:rPr>
          <w:color w:val="0F1115"/>
          <w:sz w:val="28"/>
          <w:szCs w:val="28"/>
        </w:rPr>
        <w:t xml:space="preserve"> подхода (Л.С. Выготский), педагогики сотрудничества (Ш.А. </w:t>
      </w:r>
      <w:proofErr w:type="spellStart"/>
      <w:r w:rsidRPr="00EF1AA4">
        <w:rPr>
          <w:color w:val="0F1115"/>
          <w:sz w:val="28"/>
          <w:szCs w:val="28"/>
        </w:rPr>
        <w:t>Амонашвили</w:t>
      </w:r>
      <w:proofErr w:type="spellEnd"/>
      <w:r w:rsidRPr="00EF1AA4">
        <w:rPr>
          <w:color w:val="0F1115"/>
          <w:sz w:val="28"/>
          <w:szCs w:val="28"/>
        </w:rPr>
        <w:t>) и идеи трудового воспитания А.С. Макаренко.</w:t>
      </w:r>
    </w:p>
    <w:p w:rsidR="00EF1AA4" w:rsidRPr="00EF1AA4" w:rsidRDefault="00EF1AA4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lastRenderedPageBreak/>
        <w:t>Ожидаемые результаты</w:t>
      </w:r>
    </w:p>
    <w:p w:rsidR="00EF1AA4" w:rsidRPr="00EF1AA4" w:rsidRDefault="00EF1AA4" w:rsidP="00EF1AA4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Трудовые:</w:t>
      </w:r>
      <w:r w:rsidRPr="00EF1AA4">
        <w:rPr>
          <w:color w:val="0F1115"/>
          <w:sz w:val="28"/>
          <w:szCs w:val="28"/>
        </w:rPr>
        <w:t> приобретение практических навыков (работа с инвентарём, основы дизайна и благоустройства, ремонтные работы), опыта командной трудовой деятельности.</w:t>
      </w:r>
    </w:p>
    <w:p w:rsidR="00EF1AA4" w:rsidRPr="00EF1AA4" w:rsidRDefault="00EF1AA4" w:rsidP="00EF1AA4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Оздоровительные:</w:t>
      </w:r>
      <w:r w:rsidRPr="00EF1AA4">
        <w:rPr>
          <w:color w:val="0F1115"/>
          <w:sz w:val="28"/>
          <w:szCs w:val="28"/>
        </w:rPr>
        <w:t> улучшение физической формы, снижение уровня стресса, формирование привычки к регулярной двигательной активности.</w:t>
      </w:r>
    </w:p>
    <w:p w:rsidR="00EF1AA4" w:rsidRPr="00EF1AA4" w:rsidRDefault="00EF1AA4" w:rsidP="00EF1AA4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Социальные:</w:t>
      </w:r>
      <w:r w:rsidRPr="00EF1AA4">
        <w:rPr>
          <w:color w:val="0F1115"/>
          <w:sz w:val="28"/>
          <w:szCs w:val="28"/>
        </w:rPr>
        <w:t> развитие лидерских качеств, умения договариваться и нести ответственность, укрепление чувства принадлежности к коллективу.</w:t>
      </w:r>
    </w:p>
    <w:p w:rsidR="00EF1AA4" w:rsidRPr="00EF1AA4" w:rsidRDefault="00EF1AA4" w:rsidP="00EF1AA4">
      <w:pPr>
        <w:pStyle w:val="ds-markdown-paragraph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Творческие:</w:t>
      </w:r>
      <w:r w:rsidRPr="00EF1AA4">
        <w:rPr>
          <w:color w:val="0F1115"/>
          <w:sz w:val="28"/>
          <w:szCs w:val="28"/>
        </w:rPr>
        <w:t> раскрытие творческого потенциала, создание не менее одного коллективного творческого продукта (стенгазета, видеоролик, инсталляция) от каждого отряда.</w:t>
      </w:r>
    </w:p>
    <w:p w:rsidR="00EF1AA4" w:rsidRPr="00EF1AA4" w:rsidRDefault="00EF1AA4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F1AA4" w:rsidRDefault="00EF1AA4">
      <w:pPr>
        <w:spacing w:after="160" w:line="259" w:lineRule="auto"/>
        <w:rPr>
          <w:rFonts w:ascii="Times New Roman" w:eastAsiaTheme="majorEastAsia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lastRenderedPageBreak/>
        <w:t>Механизм реализации</w:t>
      </w:r>
    </w:p>
    <w:p w:rsidR="00EF1AA4" w:rsidRPr="00EF1AA4" w:rsidRDefault="00EF1AA4" w:rsidP="00EF1AA4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Этапы реализации</w:t>
      </w:r>
    </w:p>
    <w:tbl>
      <w:tblPr>
        <w:tblStyle w:val="a6"/>
        <w:tblW w:w="9072" w:type="dxa"/>
        <w:tblLook w:val="04A0" w:firstRow="1" w:lastRow="0" w:firstColumn="1" w:lastColumn="0" w:noHBand="0" w:noVBand="1"/>
      </w:tblPr>
      <w:tblGrid>
        <w:gridCol w:w="2681"/>
        <w:gridCol w:w="1611"/>
        <w:gridCol w:w="4780"/>
      </w:tblGrid>
      <w:tr w:rsidR="00EF1AA4" w:rsidRPr="00EF1AA4" w:rsidTr="00EF1AA4"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780" w:type="dxa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EF1AA4" w:rsidRPr="00EF1AA4" w:rsidTr="00EF1AA4"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Подготовительный</w:t>
            </w:r>
          </w:p>
        </w:tc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апрель – май 2026</w:t>
            </w:r>
          </w:p>
        </w:tc>
        <w:tc>
          <w:tcPr>
            <w:tcW w:w="4780" w:type="dxa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Набор участников, заключение договоров, подготовка инвентаря, разработка плана трудовых объектов, инструктаж педагогов.</w:t>
            </w:r>
          </w:p>
        </w:tc>
      </w:tr>
      <w:tr w:rsidR="00EF1AA4" w:rsidRPr="00EF1AA4" w:rsidTr="00EF1AA4"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1–2 июня 2026</w:t>
            </w:r>
          </w:p>
        </w:tc>
        <w:tc>
          <w:tcPr>
            <w:tcW w:w="4780" w:type="dxa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Знакомство, деление на трудовые бригады, инструктаж по ТБ, выбор названий и девизов отрядов, вводный </w:t>
            </w:r>
            <w:proofErr w:type="spellStart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 xml:space="preserve"> «Поверни калейдоскоп».</w:t>
            </w:r>
          </w:p>
        </w:tc>
      </w:tr>
      <w:tr w:rsidR="00EF1AA4" w:rsidRPr="00EF1AA4" w:rsidTr="00EF1AA4"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3–20 июня 2026</w:t>
            </w:r>
          </w:p>
        </w:tc>
        <w:tc>
          <w:tcPr>
            <w:tcW w:w="4780" w:type="dxa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Ежедневное чередование трудовых дел (2–3 часа), спортивных мероприятий и творческих мастерских. Проведение </w:t>
            </w:r>
            <w:proofErr w:type="spellStart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 xml:space="preserve"> событий: «День здоровья», «Ярмарка идей», «Калейдоскоп профессий».</w:t>
            </w:r>
          </w:p>
        </w:tc>
      </w:tr>
      <w:tr w:rsidR="00EF1AA4" w:rsidRPr="00EF1AA4" w:rsidTr="00EF1AA4"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Заключительный</w:t>
            </w:r>
          </w:p>
        </w:tc>
        <w:tc>
          <w:tcPr>
            <w:tcW w:w="0" w:type="auto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21–22 июня 2026</w:t>
            </w:r>
          </w:p>
        </w:tc>
        <w:tc>
          <w:tcPr>
            <w:tcW w:w="4780" w:type="dxa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Подведение итогов, фестиваль «Летний калейдоскоп» (концерт, выставка, презентация проектов), награждение грамотами и призами, прощальный круг.</w:t>
            </w:r>
          </w:p>
        </w:tc>
      </w:tr>
    </w:tbl>
    <w:p w:rsidR="00EF1AA4" w:rsidRPr="00EF1AA4" w:rsidRDefault="00EF1AA4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5BB" w:rsidRDefault="004355BB">
      <w:pPr>
        <w:spacing w:after="160" w:line="259" w:lineRule="auto"/>
        <w:rPr>
          <w:rFonts w:ascii="Times New Roman" w:eastAsiaTheme="majorEastAsia" w:hAnsi="Times New Roman" w:cs="Times New Roman"/>
          <w:color w:val="0F1115"/>
          <w:sz w:val="28"/>
          <w:szCs w:val="28"/>
        </w:rPr>
      </w:pPr>
      <w:r>
        <w:rPr>
          <w:rFonts w:ascii="Times New Roman" w:hAnsi="Times New Roman" w:cs="Times New Roman"/>
          <w:color w:val="0F1115"/>
          <w:sz w:val="28"/>
          <w:szCs w:val="28"/>
        </w:rPr>
        <w:br w:type="page"/>
      </w: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lastRenderedPageBreak/>
        <w:t>Кадровое обеспечение</w:t>
      </w:r>
    </w:p>
    <w:p w:rsidR="00EF1AA4" w:rsidRPr="00EF1AA4" w:rsidRDefault="00EF1AA4" w:rsidP="00EF1AA4">
      <w:pPr>
        <w:pStyle w:val="3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Структура кадров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1"/>
        <w:gridCol w:w="7469"/>
      </w:tblGrid>
      <w:tr w:rsidR="00EF1AA4" w:rsidRPr="00EF1AA4" w:rsidTr="00EF1AA4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EF1AA4" w:rsidRPr="00EF1AA4" w:rsidTr="00EF1A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Общее руководство, контроль за безопасностью, взаимодействие с администрацией и родителями.</w:t>
            </w:r>
          </w:p>
        </w:tc>
      </w:tr>
      <w:tr w:rsidR="00EF1AA4" w:rsidRPr="00EF1AA4" w:rsidTr="00EF1A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Воспитатели (по 1 на отряд)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Проведение режимных моментов, организация трудовой деятельности, психолого-педагогическое сопровождение, ведение документации.</w:t>
            </w:r>
          </w:p>
        </w:tc>
      </w:tr>
      <w:tr w:rsidR="00EF1AA4" w:rsidRPr="00EF1AA4" w:rsidTr="00EF1A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Спортивный педагог (тренер)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Организация зарядки, подвижных игр, эстафет, спортивных турниров, контроль физической нагрузки.</w:t>
            </w:r>
          </w:p>
        </w:tc>
      </w:tr>
      <w:tr w:rsidR="00EF1AA4" w:rsidRPr="00EF1AA4" w:rsidTr="00EF1A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общелагерных</w:t>
            </w:r>
            <w:proofErr w:type="spellEnd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культурно-массовых мероприятий, творческих конкурсов, </w:t>
            </w:r>
            <w:proofErr w:type="spellStart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квестов</w:t>
            </w:r>
            <w:proofErr w:type="spellEnd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F1AA4" w:rsidRPr="00EF1AA4" w:rsidTr="00EF1A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(2 чел.)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 xml:space="preserve">Ведение творческих мастерских (художественная, театральная, декоративно-прикладная, </w:t>
            </w:r>
            <w:proofErr w:type="spellStart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медийная</w:t>
            </w:r>
            <w:proofErr w:type="spellEnd"/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EF1AA4" w:rsidRPr="00EF1AA4" w:rsidTr="00EF1AA4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Технический персонал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F1AA4" w:rsidRPr="00EF1AA4" w:rsidRDefault="00EF1AA4" w:rsidP="00EF1AA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1AA4">
              <w:rPr>
                <w:rFonts w:ascii="Times New Roman" w:hAnsi="Times New Roman" w:cs="Times New Roman"/>
                <w:sz w:val="28"/>
                <w:szCs w:val="28"/>
              </w:rPr>
              <w:t>Обеспечение чистоты и порядка, помощь в подготовке инвентаря.</w:t>
            </w:r>
          </w:p>
        </w:tc>
      </w:tr>
    </w:tbl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Все специалисты проходят инструктаж по охране труда и пожарной безопасности.</w:t>
      </w:r>
    </w:p>
    <w:p w:rsidR="00EF1AA4" w:rsidRPr="00EF1AA4" w:rsidRDefault="00602BBE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5" style="width:0;height:.75pt" o:hralign="center" o:hrstd="t" o:hr="t" fillcolor="#a0a0a0" stroked="f"/>
        </w:pict>
      </w: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t>Схема управления программой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Управление строится на трехуровневой системе:</w:t>
      </w:r>
    </w:p>
    <w:p w:rsidR="00EF1AA4" w:rsidRPr="00EF1AA4" w:rsidRDefault="00EF1AA4" w:rsidP="00EF1AA4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Стратегический уровень</w:t>
      </w:r>
      <w:r w:rsidRPr="00EF1AA4">
        <w:rPr>
          <w:color w:val="0F1115"/>
          <w:sz w:val="28"/>
          <w:szCs w:val="28"/>
        </w:rPr>
        <w:t> – начальник лагеря. Утверждает программу, координирует работу, отвечает за результаты.</w:t>
      </w:r>
    </w:p>
    <w:p w:rsidR="00EF1AA4" w:rsidRPr="00EF1AA4" w:rsidRDefault="00EF1AA4" w:rsidP="00EF1AA4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lastRenderedPageBreak/>
        <w:t>Организационно-методический уровень</w:t>
      </w:r>
      <w:r w:rsidRPr="00EF1AA4">
        <w:rPr>
          <w:color w:val="0F1115"/>
          <w:sz w:val="28"/>
          <w:szCs w:val="28"/>
        </w:rPr>
        <w:t> – воспитатели, спортивный педагог, педагоги ДО. Реализуют план, ведут мониторинг, корректируют деятельность.</w:t>
      </w:r>
    </w:p>
    <w:p w:rsidR="00EF1AA4" w:rsidRPr="00EF1AA4" w:rsidRDefault="00EF1AA4" w:rsidP="00EF1AA4">
      <w:pPr>
        <w:pStyle w:val="ds-markdown-paragraph"/>
        <w:numPr>
          <w:ilvl w:val="0"/>
          <w:numId w:val="33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Уровень детского самоуправления</w:t>
      </w:r>
      <w:r w:rsidRPr="00EF1AA4">
        <w:rPr>
          <w:color w:val="0F1115"/>
          <w:sz w:val="28"/>
          <w:szCs w:val="28"/>
        </w:rPr>
        <w:t> – совет командиров (выборные лидеры отрядов). Участвуют в планировании, помогают в организации дежурства и досуга, представляют интересы отрядов.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Координация: ежедневная утренняя планёрка, вечерний сбор с рефлексией «Итоги дня», раз в 3 дня – заседание совета командиров.</w:t>
      </w:r>
    </w:p>
    <w:p w:rsidR="00EF1AA4" w:rsidRPr="00EF1AA4" w:rsidRDefault="00602BBE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6" style="width:0;height:.75pt" o:hralign="center" o:hrstd="t" o:hr="t" fillcolor="#a0a0a0" stroked="f"/>
        </w:pict>
      </w: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t>Методическое сопровождение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Методическое сопровождение программы «Летний калейдоскоп» представляет собой комплекс педагогических подходов, технологий и ресурсов, направленных на интеграцию трудового, оздоровительного и творческого компонентов.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Трудовая деятельность</w:t>
      </w:r>
      <w:r w:rsidRPr="00EF1AA4">
        <w:rPr>
          <w:color w:val="0F1115"/>
          <w:sz w:val="28"/>
          <w:szCs w:val="28"/>
        </w:rPr>
        <w:t> организована через:</w:t>
      </w:r>
    </w:p>
    <w:p w:rsidR="00EF1AA4" w:rsidRPr="00EF1AA4" w:rsidRDefault="00EF1AA4" w:rsidP="00EF1AA4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метод социально значимых проектов (конкретные, измеримые задачи);</w:t>
      </w:r>
    </w:p>
    <w:p w:rsidR="00EF1AA4" w:rsidRPr="00EF1AA4" w:rsidRDefault="00EF1AA4" w:rsidP="00EF1AA4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технологию «равный обучает равного» (наставничество);</w:t>
      </w:r>
    </w:p>
    <w:p w:rsidR="00EF1AA4" w:rsidRPr="00EF1AA4" w:rsidRDefault="00EF1AA4" w:rsidP="00EF1AA4">
      <w:pPr>
        <w:pStyle w:val="ds-markdown-paragraph"/>
        <w:numPr>
          <w:ilvl w:val="0"/>
          <w:numId w:val="34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систему трудовых поручений с ротацией видов деятельности.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Оздоровительный блок</w:t>
      </w:r>
      <w:r w:rsidRPr="00EF1AA4">
        <w:rPr>
          <w:color w:val="0F1115"/>
          <w:sz w:val="28"/>
          <w:szCs w:val="28"/>
        </w:rPr>
        <w:t> включает:</w:t>
      </w:r>
    </w:p>
    <w:p w:rsidR="00EF1AA4" w:rsidRPr="00EF1AA4" w:rsidRDefault="00EF1AA4" w:rsidP="00EF1AA4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утреннюю зарядку «Бодрый старт» (функциональный тренинг);</w:t>
      </w:r>
    </w:p>
    <w:p w:rsidR="00EF1AA4" w:rsidRPr="00EF1AA4" w:rsidRDefault="00EF1AA4" w:rsidP="00EF1AA4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подвижные игры по методике круговой тренировки;</w:t>
      </w:r>
    </w:p>
    <w:p w:rsidR="00EF1AA4" w:rsidRPr="00EF1AA4" w:rsidRDefault="00EF1AA4" w:rsidP="00EF1AA4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«Минутки здоровья» (темы: осанка, гигиена, первая помощь);</w:t>
      </w:r>
    </w:p>
    <w:p w:rsidR="00EF1AA4" w:rsidRPr="00EF1AA4" w:rsidRDefault="00EF1AA4" w:rsidP="00EF1AA4">
      <w:pPr>
        <w:pStyle w:val="ds-markdown-paragraph"/>
        <w:numPr>
          <w:ilvl w:val="0"/>
          <w:numId w:val="35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туристические навыки (ориентирование, установка палатки).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Творческое развитие</w:t>
      </w:r>
      <w:r w:rsidRPr="00EF1AA4">
        <w:rPr>
          <w:color w:val="0F1115"/>
          <w:sz w:val="28"/>
          <w:szCs w:val="28"/>
        </w:rPr>
        <w:t xml:space="preserve"> строится на технологии мастерских (выбор направления), проектной деятельности и </w:t>
      </w:r>
      <w:proofErr w:type="spellStart"/>
      <w:r w:rsidRPr="00EF1AA4">
        <w:rPr>
          <w:color w:val="0F1115"/>
          <w:sz w:val="28"/>
          <w:szCs w:val="28"/>
        </w:rPr>
        <w:t>игропедагогике</w:t>
      </w:r>
      <w:proofErr w:type="spellEnd"/>
      <w:r w:rsidRPr="00EF1AA4">
        <w:rPr>
          <w:color w:val="0F1115"/>
          <w:sz w:val="28"/>
          <w:szCs w:val="28"/>
        </w:rPr>
        <w:t xml:space="preserve"> (</w:t>
      </w:r>
      <w:proofErr w:type="spellStart"/>
      <w:r w:rsidRPr="00EF1AA4">
        <w:rPr>
          <w:color w:val="0F1115"/>
          <w:sz w:val="28"/>
          <w:szCs w:val="28"/>
        </w:rPr>
        <w:t>квесты</w:t>
      </w:r>
      <w:proofErr w:type="spellEnd"/>
      <w:r w:rsidRPr="00EF1AA4">
        <w:rPr>
          <w:color w:val="0F1115"/>
          <w:sz w:val="28"/>
          <w:szCs w:val="28"/>
        </w:rPr>
        <w:t>, ролевые игры, ситуационное моделирование).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rStyle w:val="a3"/>
          <w:color w:val="0F1115"/>
          <w:sz w:val="28"/>
          <w:szCs w:val="28"/>
        </w:rPr>
        <w:t>Рефлексия</w:t>
      </w:r>
      <w:r w:rsidRPr="00EF1AA4">
        <w:rPr>
          <w:color w:val="0F1115"/>
          <w:sz w:val="28"/>
          <w:szCs w:val="28"/>
        </w:rPr>
        <w:t> – «Дневник достижений» (фиксация успехов), «Открытый микрофон» (обсуждение дня), «Цветовой калейдоскоп» (эмоциональная оценка).</w:t>
      </w:r>
    </w:p>
    <w:p w:rsidR="00EF1AA4" w:rsidRPr="00EF1AA4" w:rsidRDefault="00EF1AA4" w:rsidP="00EF1AA4">
      <w:pPr>
        <w:pStyle w:val="ds-markdown-paragraph"/>
        <w:shd w:val="clear" w:color="auto" w:fill="FFFFFF"/>
        <w:spacing w:before="0" w:beforeAutospacing="0" w:after="0" w:afterAutospacing="0" w:line="360" w:lineRule="auto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lastRenderedPageBreak/>
        <w:t>Для педагогов разработаны методические рекомендации по каждому виду деятельности и алгоритмы действий в нестандартных ситуациях.</w:t>
      </w:r>
    </w:p>
    <w:p w:rsidR="00EF1AA4" w:rsidRPr="00EF1AA4" w:rsidRDefault="00602BBE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rect id="_x0000_i1027" style="width:0;height:.75pt" o:hralign="center" o:hrstd="t" o:hr="t" fillcolor="#a0a0a0" stroked="f"/>
        </w:pict>
      </w:r>
    </w:p>
    <w:p w:rsidR="00EF1AA4" w:rsidRPr="00EF1AA4" w:rsidRDefault="00EF1AA4" w:rsidP="00EF1AA4">
      <w:pPr>
        <w:pStyle w:val="2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color w:val="0F1115"/>
          <w:sz w:val="28"/>
          <w:szCs w:val="28"/>
        </w:rPr>
      </w:pPr>
      <w:r w:rsidRPr="00EF1AA4">
        <w:rPr>
          <w:rFonts w:ascii="Times New Roman" w:hAnsi="Times New Roman" w:cs="Times New Roman"/>
          <w:color w:val="0F1115"/>
          <w:sz w:val="28"/>
          <w:szCs w:val="28"/>
        </w:rPr>
        <w:t>Учебно-методическое оснащение программы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 xml:space="preserve">Афанасьев С.П., </w:t>
      </w:r>
      <w:proofErr w:type="spellStart"/>
      <w:r w:rsidRPr="00EF1AA4">
        <w:rPr>
          <w:color w:val="0F1115"/>
          <w:sz w:val="28"/>
          <w:szCs w:val="28"/>
        </w:rPr>
        <w:t>Коморин</w:t>
      </w:r>
      <w:proofErr w:type="spellEnd"/>
      <w:r w:rsidRPr="00EF1AA4">
        <w:rPr>
          <w:color w:val="0F1115"/>
          <w:sz w:val="28"/>
          <w:szCs w:val="28"/>
        </w:rPr>
        <w:t xml:space="preserve"> С.В. Что делать с детьми в загородном лагере. – М.: Педагогическое общество России, 2009. – 208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proofErr w:type="spellStart"/>
      <w:r w:rsidRPr="00EF1AA4">
        <w:rPr>
          <w:color w:val="0F1115"/>
          <w:sz w:val="28"/>
          <w:szCs w:val="28"/>
        </w:rPr>
        <w:t>Жиренко</w:t>
      </w:r>
      <w:proofErr w:type="spellEnd"/>
      <w:r w:rsidRPr="00EF1AA4">
        <w:rPr>
          <w:color w:val="0F1115"/>
          <w:sz w:val="28"/>
          <w:szCs w:val="28"/>
        </w:rPr>
        <w:t xml:space="preserve"> О.Е. Мир праздников, шоу и викторин. – М.: </w:t>
      </w:r>
      <w:proofErr w:type="spellStart"/>
      <w:r w:rsidRPr="00EF1AA4">
        <w:rPr>
          <w:color w:val="0F1115"/>
          <w:sz w:val="28"/>
          <w:szCs w:val="28"/>
        </w:rPr>
        <w:t>Вако</w:t>
      </w:r>
      <w:proofErr w:type="spellEnd"/>
      <w:r w:rsidRPr="00EF1AA4">
        <w:rPr>
          <w:color w:val="0F1115"/>
          <w:sz w:val="28"/>
          <w:szCs w:val="28"/>
        </w:rPr>
        <w:t>, 2008. – 288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Лобачева С.И., Великородная В.А. Загородный летний лагерь. – М.: ВАКО, 2008. – 176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 xml:space="preserve">Роткина Т.С., </w:t>
      </w:r>
      <w:proofErr w:type="spellStart"/>
      <w:r w:rsidRPr="00EF1AA4">
        <w:rPr>
          <w:color w:val="0F1115"/>
          <w:sz w:val="28"/>
          <w:szCs w:val="28"/>
        </w:rPr>
        <w:t>Кузлова</w:t>
      </w:r>
      <w:proofErr w:type="spellEnd"/>
      <w:r w:rsidRPr="00EF1AA4">
        <w:rPr>
          <w:color w:val="0F1115"/>
          <w:sz w:val="28"/>
          <w:szCs w:val="28"/>
        </w:rPr>
        <w:t xml:space="preserve"> О.А. Уроки добра и милосердия. – О.: Детство, 2007. – 112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Соколова Н.В. Лето, каникулы – путь к успеху. – О.: Детство, 2009. – 96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Титов С.В. Здравствуй, лето! – Волгоград: Учитель, 2007. – 144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Шмаков С.А. Игры-шутки, игры-минутки. – М.: Новая школа, 2009. – 112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 xml:space="preserve">Методические рекомендации по организации лагерей труда и отдыха / Под ред. Т.В. Корниенко. – М.: </w:t>
      </w:r>
      <w:proofErr w:type="spellStart"/>
      <w:r w:rsidRPr="00EF1AA4">
        <w:rPr>
          <w:color w:val="0F1115"/>
          <w:sz w:val="28"/>
          <w:szCs w:val="28"/>
        </w:rPr>
        <w:t>Аркти</w:t>
      </w:r>
      <w:proofErr w:type="spellEnd"/>
      <w:r w:rsidRPr="00EF1AA4">
        <w:rPr>
          <w:color w:val="0F1115"/>
          <w:sz w:val="28"/>
          <w:szCs w:val="28"/>
        </w:rPr>
        <w:t>, 2018. – 144 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Сборник сценариев для летних лагерей «Калейдоскоп идей». – Электронный ресурс.</w:t>
      </w:r>
    </w:p>
    <w:p w:rsidR="00EF1AA4" w:rsidRPr="00EF1AA4" w:rsidRDefault="00EF1AA4" w:rsidP="00EF1AA4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color w:val="0F1115"/>
          <w:sz w:val="28"/>
          <w:szCs w:val="28"/>
        </w:rPr>
      </w:pPr>
      <w:r w:rsidRPr="00EF1AA4">
        <w:rPr>
          <w:color w:val="0F1115"/>
          <w:sz w:val="28"/>
          <w:szCs w:val="28"/>
        </w:rPr>
        <w:t>Интернет-портал «</w:t>
      </w:r>
      <w:proofErr w:type="spellStart"/>
      <w:r w:rsidRPr="00EF1AA4">
        <w:rPr>
          <w:color w:val="0F1115"/>
          <w:sz w:val="28"/>
          <w:szCs w:val="28"/>
        </w:rPr>
        <w:t>Вожатый.ру</w:t>
      </w:r>
      <w:proofErr w:type="spellEnd"/>
      <w:r w:rsidRPr="00EF1AA4">
        <w:rPr>
          <w:color w:val="0F1115"/>
          <w:sz w:val="28"/>
          <w:szCs w:val="28"/>
        </w:rPr>
        <w:t>» – методические разработки и копилка игр.</w:t>
      </w:r>
    </w:p>
    <w:p w:rsidR="004477A4" w:rsidRPr="00EF1AA4" w:rsidRDefault="004477A4" w:rsidP="00EF1AA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477A4" w:rsidRPr="00EF1AA4" w:rsidSect="00220136">
      <w:footerReference w:type="default" r:id="rId8"/>
      <w:footerReference w:type="first" r:id="rId9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BBE" w:rsidRDefault="00602BBE">
      <w:pPr>
        <w:spacing w:line="240" w:lineRule="auto"/>
      </w:pPr>
      <w:r>
        <w:separator/>
      </w:r>
    </w:p>
  </w:endnote>
  <w:endnote w:type="continuationSeparator" w:id="0">
    <w:p w:rsidR="00602BBE" w:rsidRDefault="00602BB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817" w:rsidRDefault="00731052">
    <w:pPr>
      <w:jc w:val="center"/>
    </w:pPr>
    <w:r>
      <w:fldChar w:fldCharType="begin"/>
    </w:r>
    <w:r>
      <w:instrText>PAGE</w:instrText>
    </w:r>
    <w:r>
      <w:fldChar w:fldCharType="separate"/>
    </w:r>
    <w:r w:rsidR="000B0B87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817" w:rsidRDefault="00602BBE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BBE" w:rsidRDefault="00602BBE">
      <w:pPr>
        <w:spacing w:line="240" w:lineRule="auto"/>
      </w:pPr>
      <w:r>
        <w:separator/>
      </w:r>
    </w:p>
  </w:footnote>
  <w:footnote w:type="continuationSeparator" w:id="0">
    <w:p w:rsidR="00602BBE" w:rsidRDefault="00602BB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888"/>
    <w:multiLevelType w:val="multilevel"/>
    <w:tmpl w:val="00EA6C8C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" w15:restartNumberingAfterBreak="0">
    <w:nsid w:val="056F2493"/>
    <w:multiLevelType w:val="multilevel"/>
    <w:tmpl w:val="839A1C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9E63E2"/>
    <w:multiLevelType w:val="multilevel"/>
    <w:tmpl w:val="44CC964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0A5E6528"/>
    <w:multiLevelType w:val="multilevel"/>
    <w:tmpl w:val="DB9E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13020"/>
    <w:multiLevelType w:val="multilevel"/>
    <w:tmpl w:val="CED6A350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5" w15:restartNumberingAfterBreak="0">
    <w:nsid w:val="0FE749AC"/>
    <w:multiLevelType w:val="multilevel"/>
    <w:tmpl w:val="068C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92AF4"/>
    <w:multiLevelType w:val="multilevel"/>
    <w:tmpl w:val="118A21BC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D4D55F8"/>
    <w:multiLevelType w:val="multilevel"/>
    <w:tmpl w:val="C448782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2CEF1436"/>
    <w:multiLevelType w:val="multilevel"/>
    <w:tmpl w:val="07827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D75E9B"/>
    <w:multiLevelType w:val="multilevel"/>
    <w:tmpl w:val="301C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601DC"/>
    <w:multiLevelType w:val="multilevel"/>
    <w:tmpl w:val="0D4C9E54"/>
    <w:lvl w:ilvl="0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640" w:hanging="360"/>
      </w:pPr>
      <w:rPr>
        <w:u w:val="none"/>
      </w:rPr>
    </w:lvl>
  </w:abstractNum>
  <w:abstractNum w:abstractNumId="11" w15:restartNumberingAfterBreak="0">
    <w:nsid w:val="385603B3"/>
    <w:multiLevelType w:val="multilevel"/>
    <w:tmpl w:val="4B7C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8B753A"/>
    <w:multiLevelType w:val="multilevel"/>
    <w:tmpl w:val="08C60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4758C8"/>
    <w:multiLevelType w:val="multilevel"/>
    <w:tmpl w:val="69CAE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634398"/>
    <w:multiLevelType w:val="multilevel"/>
    <w:tmpl w:val="B2B2E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C72034"/>
    <w:multiLevelType w:val="multilevel"/>
    <w:tmpl w:val="65E22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D25CBF"/>
    <w:multiLevelType w:val="multilevel"/>
    <w:tmpl w:val="BBD8F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EC1E8A"/>
    <w:multiLevelType w:val="multilevel"/>
    <w:tmpl w:val="72269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0C12C4"/>
    <w:multiLevelType w:val="multilevel"/>
    <w:tmpl w:val="3F0C1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9933DA"/>
    <w:multiLevelType w:val="multilevel"/>
    <w:tmpl w:val="DFE4E38A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4E6E1B8B"/>
    <w:multiLevelType w:val="multilevel"/>
    <w:tmpl w:val="95764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2D008A"/>
    <w:multiLevelType w:val="multilevel"/>
    <w:tmpl w:val="C3622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A313EB"/>
    <w:multiLevelType w:val="multilevel"/>
    <w:tmpl w:val="A926CA04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23" w15:restartNumberingAfterBreak="0">
    <w:nsid w:val="51EB5835"/>
    <w:multiLevelType w:val="multilevel"/>
    <w:tmpl w:val="445A899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529442EB"/>
    <w:multiLevelType w:val="multilevel"/>
    <w:tmpl w:val="04F2297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55783274"/>
    <w:multiLevelType w:val="multilevel"/>
    <w:tmpl w:val="8B888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7D70D12"/>
    <w:multiLevelType w:val="multilevel"/>
    <w:tmpl w:val="55342C1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8410BD9"/>
    <w:multiLevelType w:val="multilevel"/>
    <w:tmpl w:val="662297E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8" w15:restartNumberingAfterBreak="0">
    <w:nsid w:val="59B079CB"/>
    <w:multiLevelType w:val="multilevel"/>
    <w:tmpl w:val="70501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82E27"/>
    <w:multiLevelType w:val="multilevel"/>
    <w:tmpl w:val="81029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1B6C6C"/>
    <w:multiLevelType w:val="multilevel"/>
    <w:tmpl w:val="86C247A6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6C0E2D09"/>
    <w:multiLevelType w:val="multilevel"/>
    <w:tmpl w:val="F7DA2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B271E5"/>
    <w:multiLevelType w:val="multilevel"/>
    <w:tmpl w:val="4E60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4D26892"/>
    <w:multiLevelType w:val="multilevel"/>
    <w:tmpl w:val="E6E2F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BB5BE5"/>
    <w:multiLevelType w:val="multilevel"/>
    <w:tmpl w:val="7696BCA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5" w15:restartNumberingAfterBreak="0">
    <w:nsid w:val="7D516DA7"/>
    <w:multiLevelType w:val="multilevel"/>
    <w:tmpl w:val="F8183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13"/>
  </w:num>
  <w:num w:numId="3">
    <w:abstractNumId w:val="9"/>
  </w:num>
  <w:num w:numId="4">
    <w:abstractNumId w:val="12"/>
  </w:num>
  <w:num w:numId="5">
    <w:abstractNumId w:val="29"/>
  </w:num>
  <w:num w:numId="6">
    <w:abstractNumId w:val="31"/>
  </w:num>
  <w:num w:numId="7">
    <w:abstractNumId w:val="25"/>
  </w:num>
  <w:num w:numId="8">
    <w:abstractNumId w:val="17"/>
  </w:num>
  <w:num w:numId="9">
    <w:abstractNumId w:val="3"/>
  </w:num>
  <w:num w:numId="10">
    <w:abstractNumId w:val="16"/>
  </w:num>
  <w:num w:numId="11">
    <w:abstractNumId w:val="30"/>
  </w:num>
  <w:num w:numId="12">
    <w:abstractNumId w:val="2"/>
  </w:num>
  <w:num w:numId="13">
    <w:abstractNumId w:val="34"/>
  </w:num>
  <w:num w:numId="14">
    <w:abstractNumId w:val="4"/>
  </w:num>
  <w:num w:numId="15">
    <w:abstractNumId w:val="22"/>
  </w:num>
  <w:num w:numId="16">
    <w:abstractNumId w:val="27"/>
  </w:num>
  <w:num w:numId="17">
    <w:abstractNumId w:val="6"/>
  </w:num>
  <w:num w:numId="18">
    <w:abstractNumId w:val="23"/>
  </w:num>
  <w:num w:numId="19">
    <w:abstractNumId w:val="0"/>
  </w:num>
  <w:num w:numId="20">
    <w:abstractNumId w:val="24"/>
  </w:num>
  <w:num w:numId="21">
    <w:abstractNumId w:val="10"/>
  </w:num>
  <w:num w:numId="22">
    <w:abstractNumId w:val="19"/>
  </w:num>
  <w:num w:numId="23">
    <w:abstractNumId w:val="26"/>
  </w:num>
  <w:num w:numId="24">
    <w:abstractNumId w:val="7"/>
  </w:num>
  <w:num w:numId="25">
    <w:abstractNumId w:val="1"/>
  </w:num>
  <w:num w:numId="26">
    <w:abstractNumId w:val="32"/>
  </w:num>
  <w:num w:numId="27">
    <w:abstractNumId w:val="20"/>
  </w:num>
  <w:num w:numId="28">
    <w:abstractNumId w:val="35"/>
  </w:num>
  <w:num w:numId="29">
    <w:abstractNumId w:val="5"/>
  </w:num>
  <w:num w:numId="30">
    <w:abstractNumId w:val="18"/>
  </w:num>
  <w:num w:numId="31">
    <w:abstractNumId w:val="11"/>
  </w:num>
  <w:num w:numId="32">
    <w:abstractNumId w:val="14"/>
  </w:num>
  <w:num w:numId="33">
    <w:abstractNumId w:val="21"/>
  </w:num>
  <w:num w:numId="34">
    <w:abstractNumId w:val="15"/>
  </w:num>
  <w:num w:numId="35">
    <w:abstractNumId w:val="8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F57"/>
    <w:rsid w:val="000B0B87"/>
    <w:rsid w:val="00423582"/>
    <w:rsid w:val="004355BB"/>
    <w:rsid w:val="004477A4"/>
    <w:rsid w:val="00602BBE"/>
    <w:rsid w:val="00722254"/>
    <w:rsid w:val="00731052"/>
    <w:rsid w:val="00805D9C"/>
    <w:rsid w:val="00A82F57"/>
    <w:rsid w:val="00AF6275"/>
    <w:rsid w:val="00B8260C"/>
    <w:rsid w:val="00E6688D"/>
    <w:rsid w:val="00EC5B4B"/>
    <w:rsid w:val="00EF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3E127"/>
  <w15:chartTrackingRefBased/>
  <w15:docId w15:val="{CF15E589-3039-46CB-8E59-A9A1CF15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F57"/>
    <w:pPr>
      <w:spacing w:after="0" w:line="276" w:lineRule="auto"/>
    </w:pPr>
    <w:rPr>
      <w:rFonts w:ascii="Arial" w:eastAsia="Arial" w:hAnsi="Arial" w:cs="Arial"/>
      <w:lang w:val="ru" w:eastAsia="ru-RU"/>
    </w:rPr>
  </w:style>
  <w:style w:type="paragraph" w:styleId="1">
    <w:name w:val="heading 1"/>
    <w:basedOn w:val="a"/>
    <w:next w:val="a"/>
    <w:link w:val="10"/>
    <w:uiPriority w:val="9"/>
    <w:qFormat/>
    <w:rsid w:val="00A82F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1AA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82F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A82F5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82F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82F5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82F57"/>
    <w:rPr>
      <w:b/>
      <w:bCs/>
    </w:rPr>
  </w:style>
  <w:style w:type="paragraph" w:customStyle="1" w:styleId="ds-markdown-paragraph">
    <w:name w:val="ds-markdown-paragraph"/>
    <w:basedOn w:val="a"/>
    <w:rsid w:val="00A82F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82F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7222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2254"/>
    <w:rPr>
      <w:rFonts w:ascii="Segoe UI" w:eastAsia="Arial" w:hAnsi="Segoe UI" w:cs="Segoe UI"/>
      <w:sz w:val="18"/>
      <w:szCs w:val="18"/>
      <w:lang w:val="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F1AA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" w:eastAsia="ru-RU"/>
    </w:rPr>
  </w:style>
  <w:style w:type="table" w:styleId="a6">
    <w:name w:val="Table Grid"/>
    <w:basedOn w:val="a1"/>
    <w:uiPriority w:val="39"/>
    <w:rsid w:val="00EF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7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1588</Words>
  <Characters>9056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1</cp:lastModifiedBy>
  <cp:revision>3</cp:revision>
  <cp:lastPrinted>2025-06-18T06:41:00Z</cp:lastPrinted>
  <dcterms:created xsi:type="dcterms:W3CDTF">2026-06-03T11:47:00Z</dcterms:created>
  <dcterms:modified xsi:type="dcterms:W3CDTF">2026-06-03T12:40:00Z</dcterms:modified>
</cp:coreProperties>
</file>